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270E47B8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8E5971">
        <w:rPr>
          <w:rFonts w:ascii="Times New Roman" w:hAnsi="Times New Roman" w:cs="Times New Roman"/>
          <w:b/>
          <w:bCs/>
          <w:lang w:eastAsia="zh-CN"/>
        </w:rPr>
        <w:t>238/2025/SL</w:t>
      </w:r>
    </w:p>
    <w:p w14:paraId="6AFDA22E" w14:textId="33505FCE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2E2B73">
        <w:rPr>
          <w:rFonts w:ascii="Times New Roman" w:hAnsi="Times New Roman" w:cs="Times New Roman"/>
          <w:b/>
          <w:bCs/>
          <w:lang w:eastAsia="zh-CN"/>
        </w:rPr>
        <w:t>6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1D33C0C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2E2B73">
        <w:rPr>
          <w:rFonts w:ascii="Times New Roman" w:hAnsi="Times New Roman" w:cs="Times New Roman"/>
          <w:b/>
          <w:bCs/>
        </w:rPr>
        <w:t>6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8E5971">
        <w:rPr>
          <w:rFonts w:ascii="Times New Roman" w:hAnsi="Times New Roman" w:cs="Times New Roman"/>
          <w:b/>
          <w:bCs/>
        </w:rPr>
        <w:t xml:space="preserve">PLATFORMA DO CIĄGŁEGO MONITOROWANIA PARAMETRÓW HEMODYNAMICZNYCH </w:t>
      </w:r>
      <w:r w:rsidR="002E2B73">
        <w:rPr>
          <w:rFonts w:ascii="Times New Roman" w:hAnsi="Times New Roman" w:cs="Times New Roman"/>
          <w:b/>
          <w:bCs/>
        </w:rPr>
        <w:t>– 1 kpl.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  <w:t>sprzęt fabrycznie nowy - nieużywany / 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0"/>
        <w:gridCol w:w="1984"/>
        <w:gridCol w:w="3119"/>
      </w:tblGrid>
      <w:tr w:rsidR="002E2B73" w:rsidRPr="0053574F" w14:paraId="6F836E2E" w14:textId="77777777" w:rsidTr="008E5971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5A2D0596" w:rsidR="002E2B73" w:rsidRPr="0053574F" w:rsidRDefault="008E5971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2E2B73" w:rsidRPr="0053574F" w:rsidRDefault="002E2B73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2E2B73" w:rsidRPr="0053574F" w:rsidRDefault="002E2B73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2E2B73" w:rsidRPr="0053574F" w14:paraId="55280701" w14:textId="77777777" w:rsidTr="008E5971">
        <w:trPr>
          <w:trHeight w:val="5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2E2B73" w:rsidRPr="0053574F" w:rsidRDefault="002E2B73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6053B5AA" w:rsidR="002E2B73" w:rsidRPr="0053574F" w:rsidRDefault="008E597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="002E2B73"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1D40EB9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46177B66" w14:textId="77777777" w:rsidTr="008E5971">
        <w:trPr>
          <w:trHeight w:val="47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1863F622" w:rsidR="002E2B73" w:rsidRPr="0053574F" w:rsidRDefault="008E5971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2E2B73"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6F45B209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2D6825DC" w14:textId="77777777" w:rsidTr="008E5971">
        <w:trPr>
          <w:trHeight w:val="46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2E2B73" w:rsidRPr="0053574F" w:rsidRDefault="002E2B7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33AF9D3F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309061E4" w14:textId="77777777" w:rsidTr="008E597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1EE21FEB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Urządzenie do oceny stanu hemodynamicznego Pacjenta w oparciu o pomiar parametrów hemodynamicznych metodą analizy krzywej ciśnienia tętniczego krwi oraz saturacji tkankowej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525D719A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1E90C07F" w14:textId="77777777" w:rsidTr="008E597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2EEE0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Ocena hemodynamiczna układu krążenia metodą analizy krzywej ciśnienia tętniczego krwi:</w:t>
            </w:r>
          </w:p>
          <w:p w14:paraId="6DD2F511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bez użycia cewnika Swan-Ganza,</w:t>
            </w:r>
          </w:p>
          <w:p w14:paraId="0B7EC94F" w14:textId="51108A61" w:rsidR="002E2B73" w:rsidRPr="0053574F" w:rsidRDefault="00A765E3" w:rsidP="00A765E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drogą kaniulizacji jednego dostępu naczyniowego (dostęp tętniczy)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459DA6C2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26437867" w14:textId="77777777" w:rsidTr="008E5971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55E52E12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Pomiar parametrów hemodynamicznych wykorzystujący zaawansowaną technologię ciągłego nieinwazyjnego pomiaru ciśnienia w tętnicy ramiennej na podstawie krzywej ciśnienia tętniczego w palcu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1774D554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625106BF" w14:textId="77777777" w:rsidTr="008E597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11ABE" w14:textId="1CBD2E34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Możliwość rozbudowy o moduł do oceny </w:t>
            </w:r>
            <w:r w:rsidR="00CF2916" w:rsidRPr="00A765E3">
              <w:rPr>
                <w:color w:val="000000"/>
                <w:sz w:val="22"/>
                <w:szCs w:val="22"/>
              </w:rPr>
              <w:t>hemodynamicznej</w:t>
            </w:r>
            <w:r w:rsidRPr="00A765E3">
              <w:rPr>
                <w:color w:val="000000"/>
                <w:sz w:val="22"/>
                <w:szCs w:val="22"/>
              </w:rPr>
              <w:t xml:space="preserve"> układu krążenia metodą termodylucji: </w:t>
            </w:r>
          </w:p>
          <w:p w14:paraId="426BA2EC" w14:textId="3E07D7F8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•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765E3">
              <w:rPr>
                <w:color w:val="000000"/>
                <w:sz w:val="22"/>
                <w:szCs w:val="22"/>
              </w:rPr>
              <w:t xml:space="preserve">za pomocą cewnika Swan-Ganza, </w:t>
            </w:r>
          </w:p>
          <w:p w14:paraId="05214810" w14:textId="4F65CBDC" w:rsidR="002E2B73" w:rsidRPr="0053574F" w:rsidRDefault="00A765E3" w:rsidP="00A765E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•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765E3">
              <w:rPr>
                <w:color w:val="000000"/>
                <w:sz w:val="22"/>
                <w:szCs w:val="22"/>
              </w:rPr>
              <w:t>za pomocą cewnika Swan-Ganza CCO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4A1530E1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05803A5C" w14:textId="77777777" w:rsidTr="008E597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218C3C1D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Ciągły pomiar saturacji tkankowej metodą NIRS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021F6E08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44B9C4C4" w14:textId="77777777" w:rsidTr="008E5971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140E6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Wymagane parametry monitorowane lub wyliczane:</w:t>
            </w:r>
          </w:p>
          <w:p w14:paraId="6B33A6AC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rzut serca (CO);</w:t>
            </w:r>
          </w:p>
          <w:p w14:paraId="378DFCB6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rzut serca indeksowany (CI)</w:t>
            </w:r>
          </w:p>
          <w:p w14:paraId="5D249F11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objętość wyrzutowa (SV);</w:t>
            </w:r>
          </w:p>
          <w:p w14:paraId="60F73DEB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indeks objętości wyrzutowej (SVI)</w:t>
            </w:r>
          </w:p>
          <w:p w14:paraId="080F4C0C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systemowy (obwodowy) opór naczyniowy (SVR);</w:t>
            </w:r>
          </w:p>
          <w:p w14:paraId="4DE51C82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lastRenderedPageBreak/>
              <w:t>- indeks systemowego oporu naczyniowego (SVRI)</w:t>
            </w:r>
          </w:p>
          <w:p w14:paraId="6983913F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zmienność objętości wyrzutowej (SVV);</w:t>
            </w:r>
          </w:p>
          <w:p w14:paraId="77681EE9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centralne ciśnienie żylne (OCŻ)</w:t>
            </w:r>
          </w:p>
          <w:p w14:paraId="7076C89A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ciśnienie średnie tętnicze (MAP)</w:t>
            </w:r>
          </w:p>
          <w:p w14:paraId="17FAB4CF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częstość akcji serca (PR)</w:t>
            </w:r>
          </w:p>
          <w:p w14:paraId="07F71C3B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Saturacja tkankowa (StO2)</w:t>
            </w:r>
          </w:p>
          <w:p w14:paraId="2E02AB4C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zmienność ciśnienia tętna (PPV)</w:t>
            </w:r>
          </w:p>
          <w:p w14:paraId="37724E5D" w14:textId="6AFC9598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 xml:space="preserve">- wskaźnik ryzyka </w:t>
            </w:r>
            <w:r w:rsidR="008044F8" w:rsidRPr="00A765E3">
              <w:rPr>
                <w:sz w:val="22"/>
                <w:szCs w:val="22"/>
              </w:rPr>
              <w:t>wystąpienia</w:t>
            </w:r>
            <w:r w:rsidRPr="00A765E3">
              <w:rPr>
                <w:sz w:val="22"/>
                <w:szCs w:val="22"/>
              </w:rPr>
              <w:t xml:space="preserve"> hipotensji HPI</w:t>
            </w:r>
          </w:p>
          <w:p w14:paraId="373511C3" w14:textId="77777777" w:rsidR="00A765E3" w:rsidRPr="00A765E3" w:rsidRDefault="00A765E3" w:rsidP="00A765E3">
            <w:pPr>
              <w:pStyle w:val="Standard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dynamiczna elastancja tętnic (Eadyn)</w:t>
            </w:r>
          </w:p>
          <w:p w14:paraId="25CF928E" w14:textId="09F746BA" w:rsidR="002E2B73" w:rsidRPr="0053574F" w:rsidRDefault="00A765E3" w:rsidP="00A765E3">
            <w:pPr>
              <w:pStyle w:val="Standard"/>
              <w:widowControl w:val="0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- wskaźnik obwodowy kurczliwości lewej komory (dP/dt)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08D0CDB0" w14:textId="77777777" w:rsidTr="008E5971">
        <w:trPr>
          <w:trHeight w:val="236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D024F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Wyświetlanie danych w postaci ekranów:</w:t>
            </w:r>
          </w:p>
          <w:p w14:paraId="305E4DFE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kokpit;</w:t>
            </w:r>
          </w:p>
          <w:p w14:paraId="2CE2D314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interwencyjny;</w:t>
            </w:r>
          </w:p>
          <w:p w14:paraId="14C87CE3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- fizjologiczny </w:t>
            </w:r>
          </w:p>
          <w:p w14:paraId="6A6BC30A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- zogniskowany </w:t>
            </w:r>
          </w:p>
          <w:p w14:paraId="432647C6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graficzny;</w:t>
            </w:r>
          </w:p>
          <w:p w14:paraId="2E9C5B69" w14:textId="77777777" w:rsidR="00A765E3" w:rsidRPr="00A765E3" w:rsidRDefault="00A765E3" w:rsidP="00A765E3">
            <w:pPr>
              <w:pStyle w:val="Standard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- tabelaryczny;</w:t>
            </w:r>
          </w:p>
          <w:p w14:paraId="153C12BD" w14:textId="6B03F40C" w:rsidR="002E2B73" w:rsidRPr="0053574F" w:rsidRDefault="00A765E3" w:rsidP="00A765E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- dodatkowy ekran ze wskaźnikiem informującym o HPI (wskaźnik ryzyka </w:t>
            </w:r>
            <w:r w:rsidR="008044F8" w:rsidRPr="00A765E3">
              <w:rPr>
                <w:color w:val="000000"/>
                <w:sz w:val="22"/>
                <w:szCs w:val="22"/>
              </w:rPr>
              <w:t>wystąpienia</w:t>
            </w:r>
            <w:r w:rsidRPr="00A765E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1514A1DE" w14:textId="77777777" w:rsidTr="008E5971">
        <w:trPr>
          <w:trHeight w:val="6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2F6E952A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Ekran dotykowy o przekątnej min 12 cali i rozdzielczości min 1024x768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173E5787" w14:textId="77777777" w:rsidTr="008E5971">
        <w:trPr>
          <w:trHeight w:val="70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6B432503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Wejścia/wyjścia transmisyjne: RS232, USB 2.0, USB3.0, RJ-45, HDMI, analogowe 2 szt, EKG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5C9E1B5E" w14:textId="77777777" w:rsidTr="008E5971">
        <w:trPr>
          <w:trHeight w:val="61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0AE79915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>Dodatkowe zasilanie akumulatorowe z możliwością wymiany bez interwencji serwisu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6DDF47EA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02AE1015" w14:textId="77777777" w:rsidTr="008E5971">
        <w:trPr>
          <w:trHeight w:val="665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557319BA" w:rsidR="002E2B73" w:rsidRPr="0053574F" w:rsidRDefault="00A765E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765E3">
              <w:rPr>
                <w:color w:val="000000"/>
                <w:sz w:val="22"/>
                <w:szCs w:val="22"/>
              </w:rPr>
              <w:t xml:space="preserve">Możliwość transferu danych przez port USB w postaci </w:t>
            </w:r>
            <w:r w:rsidR="00AA3FED">
              <w:rPr>
                <w:color w:val="000000"/>
                <w:sz w:val="22"/>
                <w:szCs w:val="22"/>
              </w:rPr>
              <w:t>arkusza kalkulacyjnego typu EXCEL lub równoważnego</w:t>
            </w:r>
            <w:r w:rsidRPr="00A765E3">
              <w:rPr>
                <w:color w:val="000000"/>
                <w:sz w:val="22"/>
                <w:szCs w:val="22"/>
              </w:rPr>
              <w:t xml:space="preserve"> (do dalszej obróbki) lub JPG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3129AC2E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735BBA21" w14:textId="77777777" w:rsidTr="008E597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1A3AA525" w:rsidR="002E2B73" w:rsidRPr="0053574F" w:rsidRDefault="00A765E3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Waga aparatu nie więcej niż 5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2B73" w:rsidRPr="0053574F" w14:paraId="3E671BE8" w14:textId="77777777" w:rsidTr="008E5971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3EE85696" w:rsidR="002E2B73" w:rsidRPr="0053574F" w:rsidRDefault="00A765E3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A765E3">
              <w:rPr>
                <w:sz w:val="22"/>
                <w:szCs w:val="22"/>
              </w:rPr>
              <w:t>Statyw do zamontowania monitora.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09F934DC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E5971" w:rsidRPr="0053574F" w14:paraId="6424363D" w14:textId="77777777" w:rsidTr="008E5971">
        <w:trPr>
          <w:trHeight w:val="463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695F8" w14:textId="517892CA" w:rsidR="008E5971" w:rsidRPr="008E5971" w:rsidRDefault="008E5971" w:rsidP="008E5971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8E5971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2E2B73" w:rsidRPr="0053574F" w14:paraId="1AF8EB69" w14:textId="77777777" w:rsidTr="008E597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2E2B73" w:rsidRPr="0053574F" w:rsidRDefault="002E2B73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2E2B73" w:rsidRPr="0053574F" w:rsidRDefault="002E2B73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4FCDF" w14:textId="03392AB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F2916">
              <w:rPr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CF2916">
              <w:rPr>
                <w:i/>
                <w:iCs/>
              </w:rPr>
              <w:t xml:space="preserve"> </w:t>
            </w:r>
            <w:r w:rsidRPr="00CF2916">
              <w:t>Dodatkowy okres gwarancji będzie punktowany zgodnie z kryterium oceny ofert opisanym w SWZ.</w:t>
            </w:r>
          </w:p>
        </w:tc>
      </w:tr>
      <w:tr w:rsidR="002E2B73" w:rsidRPr="0053574F" w14:paraId="17384C9C" w14:textId="77777777" w:rsidTr="008E597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2E2B73" w:rsidRPr="00DA0A1B" w:rsidRDefault="002E2B73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2E2B73" w:rsidRPr="00DA0A1B" w:rsidRDefault="002E2B73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48B5FC81" w14:textId="77777777" w:rsidTr="008E597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2E2B73" w:rsidRPr="00861984" w:rsidRDefault="002E2B73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861984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6CAA13B0" w14:textId="77777777" w:rsidTr="008E597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1560E1E9" w:rsidR="002E2B73" w:rsidRPr="00794F29" w:rsidRDefault="00794F29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794F29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2E2B73" w:rsidRPr="0053574F" w:rsidRDefault="002E2B73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2E2B73" w:rsidRPr="0053574F" w:rsidRDefault="002E2B7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B73" w:rsidRPr="0053574F" w14:paraId="69748D18" w14:textId="77777777" w:rsidTr="008E5971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2E2B73" w:rsidRPr="0053574F" w:rsidRDefault="002E2B7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6E41F" w14:textId="77777777" w:rsidR="008E5971" w:rsidRPr="009B1859" w:rsidRDefault="008E5971" w:rsidP="008E5971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20BA7066" w:rsidR="002E2B73" w:rsidRPr="00ED50EE" w:rsidRDefault="008E5971" w:rsidP="008E5971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2E2B73" w:rsidRPr="0053574F" w:rsidRDefault="002E2B73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91FF9" w14:textId="77777777" w:rsidR="008E5971" w:rsidRDefault="008E5971" w:rsidP="00B52467">
            <w:pPr>
              <w:pStyle w:val="Standard"/>
              <w:widowControl w:val="0"/>
              <w:jc w:val="center"/>
              <w:rPr>
                <w:i/>
                <w:iCs/>
              </w:rPr>
            </w:pPr>
          </w:p>
          <w:p w14:paraId="35767649" w14:textId="77777777" w:rsidR="008E5971" w:rsidRDefault="008E5971" w:rsidP="00B52467">
            <w:pPr>
              <w:pStyle w:val="Standard"/>
              <w:widowControl w:val="0"/>
              <w:jc w:val="center"/>
              <w:rPr>
                <w:i/>
                <w:iCs/>
              </w:rPr>
            </w:pPr>
          </w:p>
          <w:p w14:paraId="69228D6C" w14:textId="77777777" w:rsidR="008E5971" w:rsidRDefault="008E5971" w:rsidP="00B52467">
            <w:pPr>
              <w:pStyle w:val="Standard"/>
              <w:widowControl w:val="0"/>
              <w:jc w:val="center"/>
              <w:rPr>
                <w:i/>
                <w:iCs/>
              </w:rPr>
            </w:pPr>
          </w:p>
          <w:p w14:paraId="08C93AEF" w14:textId="77777777" w:rsidR="008E5971" w:rsidRDefault="008E5971" w:rsidP="00B52467">
            <w:pPr>
              <w:pStyle w:val="Standard"/>
              <w:widowControl w:val="0"/>
              <w:jc w:val="center"/>
              <w:rPr>
                <w:i/>
                <w:iCs/>
              </w:rPr>
            </w:pPr>
          </w:p>
          <w:p w14:paraId="6BD9ACD8" w14:textId="6D985A33" w:rsidR="002E2B73" w:rsidRPr="0053574F" w:rsidRDefault="008E59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342F5" w14:textId="77777777" w:rsidR="00E072B4" w:rsidRDefault="00E072B4" w:rsidP="00FD4247">
      <w:pPr>
        <w:spacing w:after="0" w:line="240" w:lineRule="auto"/>
      </w:pPr>
      <w:r>
        <w:separator/>
      </w:r>
    </w:p>
  </w:endnote>
  <w:endnote w:type="continuationSeparator" w:id="0">
    <w:p w14:paraId="4AC2C125" w14:textId="77777777" w:rsidR="00E072B4" w:rsidRDefault="00E072B4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794F29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C3067" w14:textId="77777777" w:rsidR="00E072B4" w:rsidRDefault="00E072B4" w:rsidP="00FD4247">
      <w:pPr>
        <w:spacing w:after="0" w:line="240" w:lineRule="auto"/>
      </w:pPr>
      <w:r>
        <w:separator/>
      </w:r>
    </w:p>
  </w:footnote>
  <w:footnote w:type="continuationSeparator" w:id="0">
    <w:p w14:paraId="271D037B" w14:textId="77777777" w:rsidR="00E072B4" w:rsidRDefault="00E072B4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09286248">
    <w:abstractNumId w:val="4"/>
  </w:num>
  <w:num w:numId="2" w16cid:durableId="1286618604">
    <w:abstractNumId w:val="5"/>
  </w:num>
  <w:num w:numId="3" w16cid:durableId="730808009">
    <w:abstractNumId w:val="0"/>
  </w:num>
  <w:num w:numId="4" w16cid:durableId="256787334">
    <w:abstractNumId w:val="1"/>
  </w:num>
  <w:num w:numId="5" w16cid:durableId="1765884239">
    <w:abstractNumId w:val="11"/>
  </w:num>
  <w:num w:numId="6" w16cid:durableId="624435363">
    <w:abstractNumId w:val="9"/>
  </w:num>
  <w:num w:numId="7" w16cid:durableId="44843339">
    <w:abstractNumId w:val="3"/>
  </w:num>
  <w:num w:numId="8" w16cid:durableId="15162668">
    <w:abstractNumId w:val="6"/>
  </w:num>
  <w:num w:numId="9" w16cid:durableId="1225602978">
    <w:abstractNumId w:val="12"/>
  </w:num>
  <w:num w:numId="10" w16cid:durableId="1557161533">
    <w:abstractNumId w:val="2"/>
  </w:num>
  <w:num w:numId="11" w16cid:durableId="3641836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6304939">
    <w:abstractNumId w:val="7"/>
  </w:num>
  <w:num w:numId="13" w16cid:durableId="1785342113">
    <w:abstractNumId w:val="13"/>
  </w:num>
  <w:num w:numId="14" w16cid:durableId="2027366134">
    <w:abstractNumId w:val="17"/>
  </w:num>
  <w:num w:numId="15" w16cid:durableId="518281426">
    <w:abstractNumId w:val="10"/>
  </w:num>
  <w:num w:numId="16" w16cid:durableId="951320794">
    <w:abstractNumId w:val="10"/>
    <w:lvlOverride w:ilvl="0">
      <w:startOverride w:val="1"/>
    </w:lvlOverride>
  </w:num>
  <w:num w:numId="17" w16cid:durableId="579410775">
    <w:abstractNumId w:val="8"/>
  </w:num>
  <w:num w:numId="18" w16cid:durableId="526065361">
    <w:abstractNumId w:val="14"/>
  </w:num>
  <w:num w:numId="19" w16cid:durableId="20859099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45820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1F70B0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2B73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4F29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44F8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1984"/>
    <w:rsid w:val="008657CA"/>
    <w:rsid w:val="00875C80"/>
    <w:rsid w:val="00891103"/>
    <w:rsid w:val="008958A8"/>
    <w:rsid w:val="008A1CD2"/>
    <w:rsid w:val="008A223A"/>
    <w:rsid w:val="008B67D3"/>
    <w:rsid w:val="008C19A1"/>
    <w:rsid w:val="008E2725"/>
    <w:rsid w:val="008E3A1C"/>
    <w:rsid w:val="008E5971"/>
    <w:rsid w:val="008F769B"/>
    <w:rsid w:val="00901943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765E3"/>
    <w:rsid w:val="00A86BDF"/>
    <w:rsid w:val="00A916E0"/>
    <w:rsid w:val="00A920EC"/>
    <w:rsid w:val="00AA3FED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2916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072B4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1CA2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2EEEC-D1CD-4E0B-916E-29950C8A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653</Words>
  <Characters>3920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9</cp:revision>
  <cp:lastPrinted>2019-07-10T20:39:00Z</cp:lastPrinted>
  <dcterms:created xsi:type="dcterms:W3CDTF">2025-12-11T11:22:00Z</dcterms:created>
  <dcterms:modified xsi:type="dcterms:W3CDTF">2025-12-29T07:49:00Z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